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1EE5CEF5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1C2C48">
        <w:t>3</w:t>
      </w:r>
      <w:r w:rsidR="00F72F4F">
        <w:tab/>
      </w:r>
      <w:r w:rsidR="00F72F4F">
        <w:tab/>
      </w:r>
      <w:r w:rsidR="008D0C20" w:rsidRPr="008D0C20">
        <w:t>R4-241776</w:t>
      </w:r>
      <w:r w:rsidR="007F0662">
        <w:t>6</w:t>
      </w:r>
    </w:p>
    <w:p w14:paraId="4A8CACC6" w14:textId="735D7C8C" w:rsidR="00F72F4F" w:rsidRPr="00FD166F" w:rsidRDefault="001C2C48" w:rsidP="00F72F4F">
      <w:pPr>
        <w:pStyle w:val="CH"/>
        <w:tabs>
          <w:tab w:val="clear" w:pos="7920"/>
        </w:tabs>
        <w:rPr>
          <w:b w:val="0"/>
        </w:rPr>
      </w:pPr>
      <w:r>
        <w:t>Orlando</w:t>
      </w:r>
      <w:r w:rsidR="007C23F3">
        <w:t xml:space="preserve">, </w:t>
      </w:r>
      <w:r>
        <w:t>USA, November</w:t>
      </w:r>
      <w:r w:rsidRPr="00A14D3F">
        <w:t xml:space="preserve"> </w:t>
      </w:r>
      <w:r>
        <w:t>18</w:t>
      </w:r>
      <w:r>
        <w:rPr>
          <w:vertAlign w:val="superscript"/>
        </w:rPr>
        <w:t>th</w:t>
      </w:r>
      <w:r w:rsidRPr="00A14D3F">
        <w:t xml:space="preserve"> – </w:t>
      </w:r>
      <w:r>
        <w:t>22</w:t>
      </w:r>
      <w:r>
        <w:rPr>
          <w:vertAlign w:val="superscript"/>
        </w:rPr>
        <w:t>nd</w:t>
      </w:r>
      <w:r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E4CECB9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1C2C48">
        <w:t>8</w:t>
      </w:r>
      <w:r w:rsidR="007101FA">
        <w:t>.</w:t>
      </w:r>
      <w:r w:rsidR="001C2C48">
        <w:t>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6C46CF6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1C2C48" w:rsidRPr="001C2C48">
        <w:t>On FR2-NTN inclusion to specifications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70889E17" w:rsidR="00104BC6" w:rsidRDefault="00104BC6" w:rsidP="00D309CC">
      <w:pPr>
        <w:pStyle w:val="CH"/>
      </w:pPr>
      <w:r>
        <w:t>WI/SI:</w:t>
      </w:r>
      <w:r>
        <w:tab/>
      </w:r>
      <w:r w:rsidR="00B4719C" w:rsidRPr="00B4719C">
        <w:t>NR_NTN_enh-Core</w:t>
      </w:r>
    </w:p>
    <w:p w14:paraId="6C6D1281" w14:textId="5D561156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4719C">
        <w:t>8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795DFF92" w14:textId="4A354685" w:rsidR="00B4719C" w:rsidRDefault="00B4719C" w:rsidP="001C2C4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received an LS from RAN1 on </w:t>
      </w:r>
      <w:r w:rsidRPr="00B4719C">
        <w:rPr>
          <w:rFonts w:ascii="Arial" w:hAnsi="Arial" w:cs="Arial"/>
          <w:sz w:val="20"/>
          <w:szCs w:val="20"/>
        </w:rPr>
        <w:t>“FR2-NTN inclusion to specifications”</w:t>
      </w:r>
      <w:r>
        <w:rPr>
          <w:rFonts w:ascii="Arial" w:hAnsi="Arial" w:cs="Arial"/>
          <w:sz w:val="20"/>
          <w:szCs w:val="20"/>
        </w:rPr>
        <w:t xml:space="preserve"> [1] to seek for RAN4’s clarifications on the following two questions:</w:t>
      </w:r>
    </w:p>
    <w:p w14:paraId="06E92CC7" w14:textId="0A1B926D" w:rsidR="008E7986" w:rsidRDefault="00B4719C" w:rsidP="00B4719C">
      <w:pPr>
        <w:pStyle w:val="ListParagraph"/>
        <w:numPr>
          <w:ilvl w:val="0"/>
          <w:numId w:val="31"/>
        </w:numPr>
        <w:spacing w:after="120"/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B4719C">
        <w:rPr>
          <w:rFonts w:ascii="Arial" w:hAnsi="Arial" w:cs="Arial"/>
          <w:sz w:val="20"/>
          <w:szCs w:val="20"/>
        </w:rPr>
        <w:t>RAN1 identified that some RAN1 specifications are still unclear regarding whether FR2-1 or FR2-2 procedure should apply to the FR2-NTN, as the current RAN1 specifications define different behaviour between FR2-1 and FR2-2.</w:t>
      </w:r>
    </w:p>
    <w:p w14:paraId="3027B78A" w14:textId="67D06621" w:rsidR="00B4719C" w:rsidRPr="00B4719C" w:rsidRDefault="00B4719C" w:rsidP="00B4719C">
      <w:pPr>
        <w:pStyle w:val="ListParagraph"/>
        <w:numPr>
          <w:ilvl w:val="0"/>
          <w:numId w:val="31"/>
        </w:numPr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B4719C">
        <w:rPr>
          <w:rFonts w:ascii="Arial" w:hAnsi="Arial" w:cs="Arial"/>
          <w:sz w:val="20"/>
          <w:szCs w:val="20"/>
        </w:rPr>
        <w:t>Furthermore, RAN1 understands that NOTE 2 in Table 5.1-1 of 38.101-5 states that FR2-NTN are regarded as FR2 bands, likely to minimize the impact when referencing RAN1 and RAN2 specifications. RAN1 would like to ask RAN4 to consider whether NOTE 2 may need to be updated.</w:t>
      </w:r>
    </w:p>
    <w:p w14:paraId="610F5A2E" w14:textId="77777777" w:rsidR="00B4719C" w:rsidRDefault="00B4719C" w:rsidP="00B4719C">
      <w:pPr>
        <w:jc w:val="both"/>
        <w:rPr>
          <w:rFonts w:ascii="Arial" w:hAnsi="Arial" w:cs="Arial"/>
          <w:sz w:val="20"/>
          <w:szCs w:val="20"/>
        </w:rPr>
      </w:pPr>
    </w:p>
    <w:p w14:paraId="1F1EBA9E" w14:textId="57FA55C9" w:rsidR="00B4719C" w:rsidRPr="00B4719C" w:rsidRDefault="001C2C48" w:rsidP="00B4719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C2C48">
        <w:rPr>
          <w:rFonts w:ascii="Arial" w:hAnsi="Arial" w:cs="Arial"/>
          <w:sz w:val="20"/>
          <w:szCs w:val="20"/>
        </w:rPr>
        <w:t xml:space="preserve">In last RAN4 meeting, </w:t>
      </w:r>
      <w:r>
        <w:rPr>
          <w:rFonts w:ascii="Arial" w:hAnsi="Arial" w:cs="Arial"/>
          <w:sz w:val="20"/>
          <w:szCs w:val="20"/>
        </w:rPr>
        <w:t>though it was</w:t>
      </w:r>
      <w:r w:rsidRPr="001C2C48">
        <w:rPr>
          <w:rFonts w:ascii="Arial" w:hAnsi="Arial" w:cs="Arial"/>
          <w:sz w:val="20"/>
          <w:szCs w:val="20"/>
        </w:rPr>
        <w:t xml:space="preserve"> agreed to confirm to RAN1 that FR2-NTN follows FR2-1 procedure, there was no consensus on the handling of NOTE 2 in Table 5.1-1 of 38.101-5 where a few options were considered which are captured in the approved “WF on FR2-NTN inclusion to specifications”</w:t>
      </w:r>
      <w:r>
        <w:rPr>
          <w:rFonts w:ascii="Arial" w:hAnsi="Arial" w:cs="Arial"/>
          <w:sz w:val="20"/>
          <w:szCs w:val="20"/>
        </w:rPr>
        <w:t xml:space="preserve"> [2]. In this contribution, we share our view and preference on </w:t>
      </w:r>
      <w:r w:rsidRPr="001C2C48">
        <w:rPr>
          <w:rFonts w:ascii="Arial" w:hAnsi="Arial" w:cs="Arial"/>
          <w:sz w:val="20"/>
          <w:szCs w:val="20"/>
        </w:rPr>
        <w:t xml:space="preserve">the handling of </w:t>
      </w:r>
      <w:r>
        <w:rPr>
          <w:rFonts w:ascii="Arial" w:hAnsi="Arial" w:cs="Arial"/>
          <w:sz w:val="20"/>
          <w:szCs w:val="20"/>
        </w:rPr>
        <w:t xml:space="preserve">NOTE 1 and </w:t>
      </w:r>
      <w:r w:rsidRPr="001C2C48">
        <w:rPr>
          <w:rFonts w:ascii="Arial" w:hAnsi="Arial" w:cs="Arial"/>
          <w:sz w:val="20"/>
          <w:szCs w:val="20"/>
        </w:rPr>
        <w:t>NOTE 2 in Table 5.1-1 of 38.101-5.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4CC23C0C" w14:textId="77777777" w:rsidR="0082350C" w:rsidRDefault="0082350C" w:rsidP="0082350C">
      <w:pPr>
        <w:jc w:val="both"/>
        <w:rPr>
          <w:rFonts w:ascii="Arial" w:hAnsi="Arial" w:cs="Arial"/>
          <w:sz w:val="20"/>
          <w:szCs w:val="20"/>
        </w:rPr>
      </w:pPr>
    </w:p>
    <w:p w14:paraId="66795CFE" w14:textId="77777777" w:rsidR="0011515C" w:rsidRDefault="00F32A57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response </w:t>
      </w:r>
      <w:r w:rsidR="006F209A">
        <w:rPr>
          <w:rFonts w:ascii="Arial" w:hAnsi="Arial" w:cs="Arial"/>
          <w:sz w:val="20"/>
          <w:szCs w:val="20"/>
        </w:rPr>
        <w:t xml:space="preserve">to </w:t>
      </w:r>
      <w:r>
        <w:rPr>
          <w:rFonts w:ascii="Arial" w:hAnsi="Arial" w:cs="Arial"/>
          <w:sz w:val="20"/>
          <w:szCs w:val="20"/>
        </w:rPr>
        <w:t xml:space="preserve">RAN1’s </w:t>
      </w:r>
      <w:r w:rsidR="001C2C48">
        <w:rPr>
          <w:rFonts w:ascii="Arial" w:hAnsi="Arial" w:cs="Arial"/>
          <w:sz w:val="20"/>
          <w:szCs w:val="20"/>
        </w:rPr>
        <w:t xml:space="preserve">second </w:t>
      </w:r>
      <w:r>
        <w:rPr>
          <w:rFonts w:ascii="Arial" w:hAnsi="Arial" w:cs="Arial"/>
          <w:sz w:val="20"/>
          <w:szCs w:val="20"/>
        </w:rPr>
        <w:t xml:space="preserve">question on whether </w:t>
      </w:r>
      <w:r w:rsidRPr="00B4719C">
        <w:rPr>
          <w:rFonts w:ascii="Arial" w:hAnsi="Arial" w:cs="Arial"/>
          <w:sz w:val="20"/>
          <w:szCs w:val="20"/>
        </w:rPr>
        <w:t>NOTE 2</w:t>
      </w:r>
      <w:r>
        <w:rPr>
          <w:rFonts w:ascii="Arial" w:hAnsi="Arial" w:cs="Arial"/>
          <w:sz w:val="20"/>
          <w:szCs w:val="20"/>
        </w:rPr>
        <w:t xml:space="preserve"> </w:t>
      </w:r>
      <w:r w:rsidRPr="00B4719C">
        <w:rPr>
          <w:rFonts w:ascii="Arial" w:hAnsi="Arial" w:cs="Arial"/>
          <w:sz w:val="20"/>
          <w:szCs w:val="20"/>
        </w:rPr>
        <w:t>in Table 5.1-1 of 38.101-5</w:t>
      </w:r>
      <w:r>
        <w:rPr>
          <w:rFonts w:ascii="Arial" w:hAnsi="Arial" w:cs="Arial"/>
          <w:sz w:val="20"/>
          <w:szCs w:val="20"/>
        </w:rPr>
        <w:t xml:space="preserve"> </w:t>
      </w:r>
      <w:r w:rsidR="006F209A">
        <w:rPr>
          <w:rFonts w:ascii="Arial" w:hAnsi="Arial" w:cs="Arial"/>
          <w:sz w:val="20"/>
          <w:szCs w:val="20"/>
        </w:rPr>
        <w:t xml:space="preserve">as </w:t>
      </w:r>
      <w:r w:rsidR="0011515C">
        <w:rPr>
          <w:rFonts w:ascii="Arial" w:hAnsi="Arial" w:cs="Arial"/>
          <w:sz w:val="20"/>
          <w:szCs w:val="20"/>
        </w:rPr>
        <w:t xml:space="preserve">recaptured in Table 2-1 </w:t>
      </w:r>
      <w:r w:rsidR="00CD7FD3">
        <w:rPr>
          <w:rFonts w:ascii="Arial" w:hAnsi="Arial" w:cs="Arial"/>
          <w:sz w:val="20"/>
          <w:szCs w:val="20"/>
        </w:rPr>
        <w:t>may need to be updated,</w:t>
      </w:r>
      <w:r w:rsidR="006F209A">
        <w:rPr>
          <w:rFonts w:ascii="Arial" w:hAnsi="Arial" w:cs="Arial"/>
          <w:sz w:val="20"/>
          <w:szCs w:val="20"/>
        </w:rPr>
        <w:t xml:space="preserve"> RAN4 in general agreed some update is needed </w:t>
      </w:r>
      <w:r w:rsidR="0011515C">
        <w:rPr>
          <w:rFonts w:ascii="Arial" w:hAnsi="Arial" w:cs="Arial"/>
          <w:sz w:val="20"/>
          <w:szCs w:val="20"/>
        </w:rPr>
        <w:t>and</w:t>
      </w:r>
      <w:r w:rsidR="006F209A">
        <w:rPr>
          <w:rFonts w:ascii="Arial" w:hAnsi="Arial" w:cs="Arial"/>
          <w:sz w:val="20"/>
          <w:szCs w:val="20"/>
        </w:rPr>
        <w:t xml:space="preserve"> the following options had been considered in last RAN4 meeting </w:t>
      </w:r>
      <w:r w:rsidR="0011515C">
        <w:rPr>
          <w:rFonts w:ascii="Arial" w:hAnsi="Arial" w:cs="Arial"/>
          <w:sz w:val="20"/>
          <w:szCs w:val="20"/>
        </w:rPr>
        <w:t>[2].</w:t>
      </w:r>
    </w:p>
    <w:p w14:paraId="1CD7BA88" w14:textId="77777777" w:rsidR="0011515C" w:rsidRDefault="0011515C" w:rsidP="0011515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884"/>
      </w:tblGrid>
      <w:tr w:rsidR="0011515C" w:rsidRPr="003D5092" w14:paraId="166D420D" w14:textId="77777777" w:rsidTr="006445C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B1BB785" w14:textId="77777777" w:rsidR="0011515C" w:rsidRPr="003D5092" w:rsidRDefault="0011515C" w:rsidP="006445CA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115C2111" w14:textId="77777777" w:rsidR="0011515C" w:rsidRPr="003D5092" w:rsidRDefault="0011515C" w:rsidP="006445CA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 xml:space="preserve">Corresponding frequency range </w:t>
            </w:r>
          </w:p>
        </w:tc>
      </w:tr>
      <w:tr w:rsidR="0011515C" w:rsidRPr="003D5092" w14:paraId="5CCD7189" w14:textId="77777777" w:rsidTr="006445C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88B9B06" w14:textId="77777777" w:rsidR="0011515C" w:rsidRPr="003D5092" w:rsidRDefault="0011515C" w:rsidP="006445CA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FR1-NTN</w:t>
            </w:r>
            <w:r w:rsidRPr="003D5092">
              <w:rPr>
                <w:sz w:val="20"/>
                <w:vertAlign w:val="superscript"/>
              </w:rPr>
              <w:t>1</w:t>
            </w:r>
          </w:p>
        </w:tc>
        <w:tc>
          <w:tcPr>
            <w:tcW w:w="4884" w:type="dxa"/>
            <w:shd w:val="clear" w:color="auto" w:fill="auto"/>
          </w:tcPr>
          <w:p w14:paraId="1EC73F20" w14:textId="77777777" w:rsidR="0011515C" w:rsidRPr="003D5092" w:rsidRDefault="0011515C" w:rsidP="006445CA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410 MHz – 7125 MHz</w:t>
            </w:r>
          </w:p>
        </w:tc>
      </w:tr>
      <w:tr w:rsidR="0011515C" w:rsidRPr="003D5092" w14:paraId="55AAFFE0" w14:textId="77777777" w:rsidTr="006445C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089767A" w14:textId="77777777" w:rsidR="0011515C" w:rsidRPr="003D5092" w:rsidRDefault="0011515C" w:rsidP="006445CA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FR2-NTN</w:t>
            </w:r>
            <w:r w:rsidRPr="003D5092">
              <w:rPr>
                <w:sz w:val="20"/>
                <w:vertAlign w:val="superscript"/>
              </w:rPr>
              <w:t>2</w:t>
            </w:r>
          </w:p>
        </w:tc>
        <w:tc>
          <w:tcPr>
            <w:tcW w:w="4884" w:type="dxa"/>
            <w:shd w:val="clear" w:color="auto" w:fill="auto"/>
          </w:tcPr>
          <w:p w14:paraId="4492FAC4" w14:textId="77777777" w:rsidR="0011515C" w:rsidRPr="003D5092" w:rsidRDefault="0011515C" w:rsidP="006445CA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17300 MHz – 30000 MHz</w:t>
            </w:r>
          </w:p>
        </w:tc>
      </w:tr>
      <w:tr w:rsidR="0011515C" w:rsidRPr="003D5092" w14:paraId="55CB5C9A" w14:textId="77777777" w:rsidTr="006445CA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1C2729F1" w14:textId="77777777" w:rsidR="0011515C" w:rsidRPr="003D5092" w:rsidRDefault="0011515C" w:rsidP="006445CA">
            <w:pPr>
              <w:pStyle w:val="TAN"/>
              <w:rPr>
                <w:sz w:val="20"/>
              </w:rPr>
            </w:pPr>
            <w:r w:rsidRPr="003D5092">
              <w:rPr>
                <w:sz w:val="20"/>
              </w:rPr>
              <w:t>NOTE 1:</w:t>
            </w:r>
            <w:r w:rsidRPr="003D5092">
              <w:rPr>
                <w:sz w:val="20"/>
              </w:rPr>
              <w:tab/>
              <w:t>[NTN bands within this frequency range are regarded as a FR1 band when references from other specifications.]</w:t>
            </w:r>
          </w:p>
          <w:p w14:paraId="2580B5CE" w14:textId="77777777" w:rsidR="0011515C" w:rsidRPr="003D5092" w:rsidRDefault="0011515C" w:rsidP="006445CA">
            <w:pPr>
              <w:pStyle w:val="TAN"/>
              <w:rPr>
                <w:sz w:val="20"/>
              </w:rPr>
            </w:pPr>
            <w:r w:rsidRPr="00B113E2">
              <w:rPr>
                <w:sz w:val="20"/>
              </w:rPr>
              <w:t>NOTE 2:</w:t>
            </w:r>
            <w:r w:rsidRPr="00B113E2">
              <w:rPr>
                <w:sz w:val="20"/>
              </w:rPr>
              <w:tab/>
              <w:t>[NTN bands within this frequency range are regarded as a FR2 band when references from other specifications.]</w:t>
            </w:r>
          </w:p>
        </w:tc>
      </w:tr>
    </w:tbl>
    <w:p w14:paraId="75AC65B2" w14:textId="77777777" w:rsidR="0011515C" w:rsidRDefault="0011515C" w:rsidP="0011515C">
      <w:pPr>
        <w:jc w:val="both"/>
        <w:rPr>
          <w:rFonts w:ascii="Arial" w:hAnsi="Arial" w:cs="Arial"/>
          <w:sz w:val="20"/>
          <w:szCs w:val="20"/>
        </w:rPr>
      </w:pPr>
    </w:p>
    <w:p w14:paraId="4E9BD1B5" w14:textId="60233561" w:rsidR="0011515C" w:rsidRDefault="0011515C" w:rsidP="0011515C">
      <w:pPr>
        <w:spacing w:after="12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2-1 </w:t>
      </w:r>
      <w:r w:rsidRPr="00924EB7">
        <w:rPr>
          <w:rFonts w:ascii="Arial" w:hAnsi="Arial" w:cs="Arial"/>
          <w:b/>
          <w:bCs/>
          <w:sz w:val="20"/>
          <w:szCs w:val="20"/>
          <w:lang w:val="en-GB"/>
        </w:rPr>
        <w:t>Definition of NTN frequency ranges</w:t>
      </w:r>
    </w:p>
    <w:p w14:paraId="0BF8883B" w14:textId="77777777" w:rsidR="0011515C" w:rsidRDefault="0011515C" w:rsidP="0011515C">
      <w:pPr>
        <w:jc w:val="both"/>
        <w:rPr>
          <w:rFonts w:ascii="Arial" w:hAnsi="Arial" w:cs="Arial"/>
          <w:sz w:val="20"/>
          <w:szCs w:val="20"/>
        </w:rPr>
      </w:pPr>
    </w:p>
    <w:p w14:paraId="52642D30" w14:textId="77777777" w:rsidR="0011515C" w:rsidRPr="0011515C" w:rsidRDefault="0011515C" w:rsidP="0011515C">
      <w:pPr>
        <w:numPr>
          <w:ilvl w:val="0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515C">
        <w:rPr>
          <w:rFonts w:ascii="Arial" w:hAnsi="Arial" w:cs="Arial"/>
          <w:sz w:val="20"/>
          <w:szCs w:val="20"/>
        </w:rPr>
        <w:t>Option 1: Remove both Note 1 and Note 2</w:t>
      </w:r>
    </w:p>
    <w:p w14:paraId="68266A58" w14:textId="77777777" w:rsidR="0011515C" w:rsidRPr="0011515C" w:rsidRDefault="0011515C" w:rsidP="0011515C">
      <w:pPr>
        <w:numPr>
          <w:ilvl w:val="0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515C">
        <w:rPr>
          <w:rFonts w:ascii="Arial" w:hAnsi="Arial" w:cs="Arial"/>
          <w:sz w:val="20"/>
          <w:szCs w:val="20"/>
        </w:rPr>
        <w:t>Option 2: Keep Note 1 and remove Note 2</w:t>
      </w:r>
    </w:p>
    <w:p w14:paraId="24CA9EFE" w14:textId="77777777" w:rsidR="0011515C" w:rsidRPr="0011515C" w:rsidRDefault="0011515C" w:rsidP="0011515C">
      <w:pPr>
        <w:numPr>
          <w:ilvl w:val="0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515C">
        <w:rPr>
          <w:rFonts w:ascii="Arial" w:hAnsi="Arial" w:cs="Arial"/>
          <w:sz w:val="20"/>
          <w:szCs w:val="20"/>
        </w:rPr>
        <w:t>Option 3a: Revise Note 2 (FR2 -&gt; FR2-1)</w:t>
      </w:r>
    </w:p>
    <w:p w14:paraId="0C4234C4" w14:textId="77777777" w:rsidR="0011515C" w:rsidRPr="0011515C" w:rsidRDefault="0011515C" w:rsidP="0011515C">
      <w:pPr>
        <w:numPr>
          <w:ilvl w:val="0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515C">
        <w:rPr>
          <w:rFonts w:ascii="Arial" w:hAnsi="Arial" w:cs="Arial"/>
          <w:sz w:val="20"/>
          <w:szCs w:val="20"/>
        </w:rPr>
        <w:t xml:space="preserve">Option 3b: Update NOTE 2 to “NTN bands within this frequency range are to follow FR2-1 band procedure when referenced from other specifications.” </w:t>
      </w:r>
    </w:p>
    <w:p w14:paraId="6BA270FB" w14:textId="77777777" w:rsidR="0011515C" w:rsidRDefault="0011515C" w:rsidP="0011515C">
      <w:pPr>
        <w:numPr>
          <w:ilvl w:val="0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515C">
        <w:rPr>
          <w:rFonts w:ascii="Arial" w:hAnsi="Arial" w:cs="Arial"/>
          <w:sz w:val="20"/>
          <w:szCs w:val="20"/>
        </w:rPr>
        <w:lastRenderedPageBreak/>
        <w:t>Option 3c: Update NOTE 2 to:</w:t>
      </w:r>
      <w:r w:rsidRPr="0011515C">
        <w:rPr>
          <w:rFonts w:ascii="Arial" w:hAnsi="Arial" w:cs="Arial"/>
          <w:sz w:val="20"/>
          <w:szCs w:val="20"/>
        </w:rPr>
        <w:tab/>
        <w:t xml:space="preserve">In other specifications, when FR2-NTN is not explicitly defined, NTN bands within this frequency range are regarded as FR2, or FR2-1 when there is a differentiation between FR2-1 and FR2-2.” </w:t>
      </w:r>
    </w:p>
    <w:p w14:paraId="55E59879" w14:textId="0640403C" w:rsidR="00C92E30" w:rsidRPr="0011515C" w:rsidRDefault="0011515C" w:rsidP="0011515C">
      <w:pPr>
        <w:numPr>
          <w:ilvl w:val="0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1515C">
        <w:rPr>
          <w:rFonts w:ascii="Arial" w:hAnsi="Arial" w:cs="Arial"/>
          <w:sz w:val="20"/>
          <w:szCs w:val="20"/>
        </w:rPr>
        <w:t>Option 3d: Update NOTE 2 to “NTN bands within this frequency range are regarded as a FR2 band when referenced from other specifications, if applicable.”</w:t>
      </w:r>
    </w:p>
    <w:p w14:paraId="641748A0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14DD8D0A" w14:textId="413E0B2D" w:rsidR="0011515C" w:rsidRDefault="0011515C" w:rsidP="00A3034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our view, though FR1-NTN frequency range and system parameters are well aligned with the terrestrial network FR1 specifications, the FR2-NTN frequency range however does not fully correlate with the terrestrial network FR2 nor FR2-1 range, therefore, having NOTE 2 referencing to either FR2 or FR2-1 band may cause some confusion. If FR2-NTN frequency range can be confirmed to follow the FR2-1 procedure to RAN1 and RAN2, then NOTE 2 may be removed to avoid the potential confusion with FR2 or FR2-1 (Option 1). Or another alternative is to update the note to as “</w:t>
      </w:r>
      <w:r w:rsidRPr="002E0A7D">
        <w:rPr>
          <w:rFonts w:ascii="Arial" w:hAnsi="Arial" w:cs="Arial"/>
          <w:sz w:val="20"/>
          <w:szCs w:val="20"/>
        </w:rPr>
        <w:t>NTN bands within this frequency range are</w:t>
      </w:r>
      <w:r>
        <w:rPr>
          <w:rFonts w:ascii="Arial" w:hAnsi="Arial" w:cs="Arial"/>
          <w:sz w:val="20"/>
          <w:szCs w:val="20"/>
        </w:rPr>
        <w:t xml:space="preserve"> to follow FR2-1 band procedure when referenced from other specifications.” (Option 3</w:t>
      </w:r>
      <w:r w:rsidR="001B2D4E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</w:p>
    <w:p w14:paraId="3AB5B8F1" w14:textId="77777777" w:rsidR="0011515C" w:rsidRDefault="0011515C" w:rsidP="00C92E30">
      <w:pPr>
        <w:jc w:val="both"/>
        <w:rPr>
          <w:rFonts w:ascii="Arial" w:hAnsi="Arial" w:cs="Arial"/>
          <w:sz w:val="20"/>
          <w:szCs w:val="20"/>
        </w:rPr>
      </w:pPr>
    </w:p>
    <w:p w14:paraId="6C4A06D4" w14:textId="777E84DE" w:rsidR="00C92E30" w:rsidRPr="008D1F7A" w:rsidRDefault="00C92E30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B75DED" w:rsidRPr="00B75DED">
        <w:rPr>
          <w:rFonts w:ascii="Arial" w:hAnsi="Arial" w:cs="Arial"/>
          <w:i/>
          <w:iCs/>
          <w:sz w:val="20"/>
          <w:szCs w:val="20"/>
        </w:rPr>
        <w:t>FR2-NTN frequency range</w:t>
      </w:r>
      <w:r w:rsidR="00B75DED">
        <w:rPr>
          <w:rFonts w:ascii="Arial" w:hAnsi="Arial" w:cs="Arial"/>
          <w:i/>
          <w:iCs/>
          <w:sz w:val="20"/>
          <w:szCs w:val="20"/>
        </w:rPr>
        <w:t xml:space="preserve"> </w:t>
      </w:r>
      <w:r w:rsidR="00B75DED" w:rsidRPr="00B75DED">
        <w:rPr>
          <w:rFonts w:ascii="Arial" w:hAnsi="Arial" w:cs="Arial"/>
          <w:i/>
          <w:iCs/>
          <w:sz w:val="20"/>
          <w:szCs w:val="20"/>
        </w:rPr>
        <w:t xml:space="preserve">does not fully correlate with </w:t>
      </w:r>
      <w:r w:rsidR="00E95EB1">
        <w:rPr>
          <w:rFonts w:ascii="Arial" w:hAnsi="Arial" w:cs="Arial"/>
          <w:i/>
          <w:iCs/>
          <w:sz w:val="20"/>
          <w:szCs w:val="20"/>
        </w:rPr>
        <w:t xml:space="preserve">the </w:t>
      </w:r>
      <w:r w:rsidR="00B75DED" w:rsidRPr="00B75DED">
        <w:rPr>
          <w:rFonts w:ascii="Arial" w:hAnsi="Arial" w:cs="Arial"/>
          <w:i/>
          <w:iCs/>
          <w:sz w:val="20"/>
          <w:szCs w:val="20"/>
        </w:rPr>
        <w:t>terrestrial network FR2 nor FR2-1 range</w:t>
      </w:r>
      <w:r w:rsidR="00821BE7">
        <w:rPr>
          <w:rFonts w:ascii="Arial" w:hAnsi="Arial" w:cs="Arial"/>
          <w:i/>
          <w:iCs/>
          <w:sz w:val="20"/>
          <w:szCs w:val="20"/>
        </w:rPr>
        <w:t>, h</w:t>
      </w:r>
      <w:r w:rsidR="00C96A5B" w:rsidRPr="00C96A5B">
        <w:rPr>
          <w:rFonts w:ascii="Arial" w:hAnsi="Arial" w:cs="Arial"/>
          <w:i/>
          <w:iCs/>
          <w:sz w:val="20"/>
          <w:szCs w:val="20"/>
        </w:rPr>
        <w:t>aving NOTE 2 referencing to either FR2 or FR2-1 band may cause some confusion.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7E5CD04C" w14:textId="77777777" w:rsidR="00564D68" w:rsidRDefault="00564D68" w:rsidP="00B75DED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48E2EFA7" w14:textId="74EF0F57" w:rsidR="00C96A5B" w:rsidRPr="00C96A5B" w:rsidRDefault="00DA20B4" w:rsidP="008174FE">
      <w:pPr>
        <w:spacing w:after="2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1B2D4E">
        <w:rPr>
          <w:rFonts w:ascii="Arial" w:hAnsi="Arial" w:cs="Arial"/>
          <w:bCs/>
          <w:i/>
          <w:iCs/>
          <w:sz w:val="20"/>
          <w:szCs w:val="20"/>
        </w:rPr>
        <w:t xml:space="preserve">Option 1 or Option 3b </w:t>
      </w:r>
    </w:p>
    <w:p w14:paraId="58BD1E5C" w14:textId="5E0FBDE2" w:rsidR="00C96A5B" w:rsidRDefault="00C96A5B" w:rsidP="008174FE">
      <w:pPr>
        <w:spacing w:after="240"/>
        <w:ind w:left="28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>Option 1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1B2D4E" w:rsidRPr="0011515C">
        <w:rPr>
          <w:rFonts w:ascii="Arial" w:hAnsi="Arial" w:cs="Arial"/>
          <w:bCs/>
          <w:i/>
          <w:iCs/>
          <w:sz w:val="20"/>
          <w:szCs w:val="20"/>
        </w:rPr>
        <w:t>Remove both Note 1 and Note 2</w:t>
      </w:r>
      <w:r w:rsidR="001B2D4E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3356CFF0" w14:textId="28D9CE3D" w:rsidR="00C96A5B" w:rsidRPr="00DA20B4" w:rsidRDefault="00C96A5B" w:rsidP="008174FE">
      <w:pPr>
        <w:spacing w:after="120"/>
        <w:ind w:left="288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 xml:space="preserve">Option </w:t>
      </w:r>
      <w:r w:rsidR="001B2D4E">
        <w:rPr>
          <w:rFonts w:ascii="Arial" w:hAnsi="Arial" w:cs="Arial"/>
          <w:b/>
          <w:i/>
          <w:iCs/>
          <w:sz w:val="20"/>
          <w:szCs w:val="20"/>
        </w:rPr>
        <w:t>3b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1B2D4E" w:rsidRPr="0011515C">
        <w:rPr>
          <w:rFonts w:ascii="Arial" w:hAnsi="Arial" w:cs="Arial"/>
          <w:bCs/>
          <w:i/>
          <w:iCs/>
          <w:sz w:val="20"/>
          <w:szCs w:val="20"/>
        </w:rPr>
        <w:t>Update NOTE 2 to “NTN bands within this frequency range are to follow FR2-1 band procedure when referenced from other specifications.”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405514C" w:rsidR="006D7B72" w:rsidRPr="00DA20B4" w:rsidRDefault="00B70D77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B70D77">
        <w:rPr>
          <w:rFonts w:ascii="Arial" w:hAnsi="Arial" w:cs="Arial"/>
          <w:sz w:val="20"/>
          <w:szCs w:val="20"/>
        </w:rPr>
        <w:t>In this contribution, we share our view and preference on the handling of NOTE 1 and NOTE 2 in Table 5.1-1 of 38.101-5.</w:t>
      </w:r>
      <w:r w:rsidR="00090307">
        <w:rPr>
          <w:rFonts w:ascii="Arial" w:hAnsi="Arial" w:cs="Arial"/>
          <w:sz w:val="20"/>
          <w:szCs w:val="20"/>
        </w:rPr>
        <w:t xml:space="preserve">  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BC84222" w14:textId="77777777" w:rsidR="00B70D77" w:rsidRPr="008D1F7A" w:rsidRDefault="00B70D77" w:rsidP="00B70D77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B75DED">
        <w:rPr>
          <w:rFonts w:ascii="Arial" w:hAnsi="Arial" w:cs="Arial"/>
          <w:i/>
          <w:iCs/>
          <w:sz w:val="20"/>
          <w:szCs w:val="20"/>
        </w:rPr>
        <w:t>FR2-NTN frequency range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B75DED">
        <w:rPr>
          <w:rFonts w:ascii="Arial" w:hAnsi="Arial" w:cs="Arial"/>
          <w:i/>
          <w:iCs/>
          <w:sz w:val="20"/>
          <w:szCs w:val="20"/>
        </w:rPr>
        <w:t xml:space="preserve">does not fully correlate with </w:t>
      </w:r>
      <w:r>
        <w:rPr>
          <w:rFonts w:ascii="Arial" w:hAnsi="Arial" w:cs="Arial"/>
          <w:i/>
          <w:iCs/>
          <w:sz w:val="20"/>
          <w:szCs w:val="20"/>
        </w:rPr>
        <w:t xml:space="preserve">the </w:t>
      </w:r>
      <w:r w:rsidRPr="00B75DED">
        <w:rPr>
          <w:rFonts w:ascii="Arial" w:hAnsi="Arial" w:cs="Arial"/>
          <w:i/>
          <w:iCs/>
          <w:sz w:val="20"/>
          <w:szCs w:val="20"/>
        </w:rPr>
        <w:t>terrestrial network FR2 nor FR2-1 range</w:t>
      </w:r>
      <w:r>
        <w:rPr>
          <w:rFonts w:ascii="Arial" w:hAnsi="Arial" w:cs="Arial"/>
          <w:i/>
          <w:iCs/>
          <w:sz w:val="20"/>
          <w:szCs w:val="20"/>
        </w:rPr>
        <w:t>, h</w:t>
      </w:r>
      <w:r w:rsidRPr="00C96A5B">
        <w:rPr>
          <w:rFonts w:ascii="Arial" w:hAnsi="Arial" w:cs="Arial"/>
          <w:i/>
          <w:iCs/>
          <w:sz w:val="20"/>
          <w:szCs w:val="20"/>
        </w:rPr>
        <w:t>aving NOTE 2 referencing to either FR2 or FR2-1 band may cause some confusion.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1C9DCFF2" w14:textId="77777777" w:rsidR="00B70D77" w:rsidRDefault="00B70D77" w:rsidP="00B70D77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D3F363A" w14:textId="77777777" w:rsidR="00B70D77" w:rsidRPr="00C96A5B" w:rsidRDefault="00B70D77" w:rsidP="00B70D77">
      <w:pPr>
        <w:spacing w:after="2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Option 1 or Option 3b </w:t>
      </w:r>
    </w:p>
    <w:p w14:paraId="2D103B91" w14:textId="77777777" w:rsidR="00B70D77" w:rsidRDefault="00B70D77" w:rsidP="00B70D77">
      <w:pPr>
        <w:spacing w:after="240"/>
        <w:ind w:left="28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>Option 1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Pr="0011515C">
        <w:rPr>
          <w:rFonts w:ascii="Arial" w:hAnsi="Arial" w:cs="Arial"/>
          <w:bCs/>
          <w:i/>
          <w:iCs/>
          <w:sz w:val="20"/>
          <w:szCs w:val="20"/>
        </w:rPr>
        <w:t>Remove both Note 1 and Note 2</w:t>
      </w:r>
      <w:r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3254C545" w14:textId="1BC8EEB0" w:rsidR="008174FE" w:rsidRPr="00DA20B4" w:rsidRDefault="00B70D77" w:rsidP="00B70D77">
      <w:pPr>
        <w:spacing w:after="120"/>
        <w:ind w:left="288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 xml:space="preserve">Option </w:t>
      </w:r>
      <w:r>
        <w:rPr>
          <w:rFonts w:ascii="Arial" w:hAnsi="Arial" w:cs="Arial"/>
          <w:b/>
          <w:i/>
          <w:iCs/>
          <w:sz w:val="20"/>
          <w:szCs w:val="20"/>
        </w:rPr>
        <w:t>3b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Pr="0011515C">
        <w:rPr>
          <w:rFonts w:ascii="Arial" w:hAnsi="Arial" w:cs="Arial"/>
          <w:bCs/>
          <w:i/>
          <w:iCs/>
          <w:sz w:val="20"/>
          <w:szCs w:val="20"/>
        </w:rPr>
        <w:t>Update NOTE 2 to “NTN bands within this frequency range are to follow FR2-1 band procedure when referenced from other specifications.”</w:t>
      </w:r>
    </w:p>
    <w:p w14:paraId="5D2DDC34" w14:textId="0A720319" w:rsidR="005E69AE" w:rsidRDefault="00987E57" w:rsidP="005E69AE">
      <w:pPr>
        <w:pStyle w:val="Heading1"/>
      </w:pPr>
      <w:r>
        <w:t>4</w:t>
      </w:r>
      <w:r w:rsidR="005E69AE">
        <w:tab/>
        <w:t>Reference</w:t>
      </w:r>
      <w:r w:rsidR="00307EB9">
        <w:t>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6B45D8A2" w14:textId="7F1D8A98" w:rsidR="00C57E50" w:rsidRDefault="003E29F3" w:rsidP="009F28A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</w:t>
      </w:r>
      <w:r w:rsidR="00477B86">
        <w:rPr>
          <w:rFonts w:ascii="Arial" w:hAnsi="Arial" w:cs="Arial"/>
          <w:bCs/>
          <w:sz w:val="20"/>
          <w:szCs w:val="20"/>
        </w:rPr>
        <w:t>1</w:t>
      </w:r>
      <w:r w:rsidRPr="003E29F3">
        <w:rPr>
          <w:rFonts w:ascii="Arial" w:hAnsi="Arial" w:cs="Arial"/>
          <w:bCs/>
          <w:sz w:val="20"/>
          <w:szCs w:val="20"/>
        </w:rPr>
        <w:t>-</w:t>
      </w:r>
      <w:r w:rsidR="00477B86" w:rsidRPr="00477B86">
        <w:rPr>
          <w:rFonts w:ascii="Arial" w:hAnsi="Arial" w:cs="Arial"/>
          <w:bCs/>
          <w:sz w:val="20"/>
          <w:szCs w:val="20"/>
        </w:rPr>
        <w:t>2407406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="00477B86" w:rsidRPr="00477B86">
        <w:rPr>
          <w:rFonts w:ascii="Arial" w:hAnsi="Arial" w:cs="Arial"/>
          <w:bCs/>
          <w:sz w:val="20"/>
          <w:szCs w:val="20"/>
        </w:rPr>
        <w:t>LS on FR2-NTN inclusion to specifications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477B86">
        <w:rPr>
          <w:rFonts w:ascii="Arial" w:hAnsi="Arial" w:cs="Arial"/>
          <w:bCs/>
          <w:sz w:val="20"/>
          <w:szCs w:val="20"/>
        </w:rPr>
        <w:t>RAN1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3GPP TSG-RAN </w:t>
      </w:r>
      <w:r w:rsidR="00477B86">
        <w:rPr>
          <w:rFonts w:ascii="Arial" w:hAnsi="Arial" w:cs="Arial"/>
          <w:bCs/>
          <w:sz w:val="20"/>
          <w:szCs w:val="20"/>
        </w:rPr>
        <w:t xml:space="preserve">WG1 </w:t>
      </w:r>
      <w:r w:rsidR="00B9016C" w:rsidRPr="008B4249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</w:t>
      </w:r>
      <w:r w:rsidR="00477B86">
        <w:rPr>
          <w:rFonts w:ascii="Arial" w:hAnsi="Arial" w:cs="Arial"/>
          <w:bCs/>
          <w:sz w:val="20"/>
          <w:szCs w:val="20"/>
        </w:rPr>
        <w:t>18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477B86" w:rsidRPr="004C260B">
        <w:rPr>
          <w:rFonts w:ascii="Arial" w:hAnsi="Arial" w:cs="Arial"/>
          <w:bCs/>
          <w:sz w:val="20"/>
          <w:szCs w:val="20"/>
        </w:rPr>
        <w:t>Maastricht, Netherlands, August 19</w:t>
      </w:r>
      <w:r w:rsidR="00477B86" w:rsidRPr="004C260B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477B86" w:rsidRPr="004C260B">
        <w:rPr>
          <w:rFonts w:ascii="Arial" w:hAnsi="Arial" w:cs="Arial"/>
          <w:bCs/>
          <w:sz w:val="20"/>
          <w:szCs w:val="20"/>
        </w:rPr>
        <w:t xml:space="preserve"> – 23</w:t>
      </w:r>
      <w:r w:rsidR="00477B86" w:rsidRPr="004C260B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="00477B86" w:rsidRPr="004C260B">
        <w:rPr>
          <w:rFonts w:ascii="Arial" w:hAnsi="Arial" w:cs="Arial"/>
          <w:bCs/>
          <w:sz w:val="20"/>
          <w:szCs w:val="20"/>
        </w:rPr>
        <w:t>, 2024</w:t>
      </w:r>
    </w:p>
    <w:p w14:paraId="620B7459" w14:textId="6EBBE8B4" w:rsidR="004C260B" w:rsidRPr="00DD7499" w:rsidRDefault="001E5F25" w:rsidP="00DD749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1E5F25">
        <w:rPr>
          <w:rFonts w:ascii="Arial" w:hAnsi="Arial" w:cs="Arial"/>
          <w:bCs/>
          <w:sz w:val="20"/>
          <w:szCs w:val="20"/>
        </w:rPr>
        <w:t>R</w:t>
      </w:r>
      <w:r w:rsidR="00B70D77">
        <w:rPr>
          <w:rFonts w:ascii="Arial" w:hAnsi="Arial" w:cs="Arial"/>
          <w:bCs/>
          <w:sz w:val="20"/>
          <w:szCs w:val="20"/>
        </w:rPr>
        <w:t>4</w:t>
      </w:r>
      <w:r w:rsidRPr="001E5F25">
        <w:rPr>
          <w:rFonts w:ascii="Arial" w:hAnsi="Arial" w:cs="Arial"/>
          <w:bCs/>
          <w:sz w:val="20"/>
          <w:szCs w:val="20"/>
        </w:rPr>
        <w:t>-24</w:t>
      </w:r>
      <w:r w:rsidR="00B70D77">
        <w:rPr>
          <w:rFonts w:ascii="Arial" w:hAnsi="Arial" w:cs="Arial"/>
          <w:bCs/>
          <w:sz w:val="20"/>
          <w:szCs w:val="20"/>
        </w:rPr>
        <w:t>17185</w:t>
      </w:r>
      <w:r w:rsidR="0091243B">
        <w:rPr>
          <w:rFonts w:ascii="Arial" w:hAnsi="Arial" w:cs="Arial"/>
          <w:bCs/>
          <w:sz w:val="20"/>
          <w:szCs w:val="20"/>
        </w:rPr>
        <w:t xml:space="preserve"> </w:t>
      </w:r>
      <w:r w:rsidR="004C260B" w:rsidRPr="004C260B">
        <w:rPr>
          <w:rFonts w:ascii="Arial" w:hAnsi="Arial" w:cs="Arial"/>
          <w:bCs/>
          <w:sz w:val="20"/>
          <w:szCs w:val="20"/>
        </w:rPr>
        <w:t>“</w:t>
      </w:r>
      <w:r w:rsidR="00B70D77" w:rsidRPr="00B70D77">
        <w:rPr>
          <w:rFonts w:ascii="Arial" w:hAnsi="Arial" w:cs="Arial"/>
          <w:bCs/>
          <w:sz w:val="20"/>
          <w:szCs w:val="20"/>
        </w:rPr>
        <w:t>WF on FR2-NTN inclusion to specifications</w:t>
      </w:r>
      <w:r w:rsidR="004C260B" w:rsidRPr="004C260B">
        <w:rPr>
          <w:rFonts w:ascii="Arial" w:hAnsi="Arial" w:cs="Arial"/>
          <w:bCs/>
          <w:sz w:val="20"/>
          <w:szCs w:val="20"/>
        </w:rPr>
        <w:t>”</w:t>
      </w:r>
      <w:r w:rsidR="004C260B">
        <w:rPr>
          <w:rFonts w:ascii="Arial" w:hAnsi="Arial" w:cs="Arial"/>
          <w:bCs/>
          <w:sz w:val="20"/>
          <w:szCs w:val="20"/>
        </w:rPr>
        <w:t xml:space="preserve">, </w:t>
      </w:r>
      <w:r w:rsidR="00B70D77">
        <w:rPr>
          <w:rFonts w:ascii="Arial" w:hAnsi="Arial" w:cs="Arial"/>
          <w:bCs/>
          <w:sz w:val="20"/>
          <w:szCs w:val="20"/>
        </w:rPr>
        <w:t>Apple</w:t>
      </w:r>
      <w:r w:rsidR="004C260B">
        <w:rPr>
          <w:rFonts w:ascii="Arial" w:hAnsi="Arial" w:cs="Arial"/>
          <w:bCs/>
          <w:sz w:val="20"/>
          <w:szCs w:val="20"/>
        </w:rPr>
        <w:t xml:space="preserve">, </w:t>
      </w:r>
      <w:r w:rsidR="00B70D77" w:rsidRPr="00CA510E">
        <w:rPr>
          <w:rFonts w:ascii="Arial" w:hAnsi="Arial" w:cs="Arial"/>
          <w:bCs/>
          <w:sz w:val="20"/>
          <w:szCs w:val="20"/>
        </w:rPr>
        <w:t>3GPP TSG RAN WG4 Meeting #11</w:t>
      </w:r>
      <w:r w:rsidR="00B70D77">
        <w:rPr>
          <w:rFonts w:ascii="Arial" w:hAnsi="Arial" w:cs="Arial"/>
          <w:bCs/>
          <w:sz w:val="20"/>
          <w:szCs w:val="20"/>
        </w:rPr>
        <w:t>2bis</w:t>
      </w:r>
      <w:r w:rsidR="00B70D77"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B70D77">
        <w:rPr>
          <w:rFonts w:ascii="Arial" w:hAnsi="Arial" w:cs="Arial"/>
          <w:bCs/>
          <w:sz w:val="20"/>
          <w:szCs w:val="20"/>
        </w:rPr>
        <w:t>Hefei</w:t>
      </w:r>
      <w:r w:rsidR="00B70D77"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B70D77">
        <w:rPr>
          <w:rFonts w:ascii="Arial" w:hAnsi="Arial" w:cs="Arial"/>
          <w:bCs/>
          <w:sz w:val="20"/>
          <w:szCs w:val="20"/>
        </w:rPr>
        <w:t>China</w:t>
      </w:r>
      <w:r w:rsidR="00B70D77"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B70D77">
        <w:rPr>
          <w:rFonts w:ascii="Arial" w:hAnsi="Arial" w:cs="Arial"/>
          <w:bCs/>
          <w:sz w:val="20"/>
          <w:szCs w:val="20"/>
        </w:rPr>
        <w:t>October</w:t>
      </w:r>
      <w:r w:rsidR="00B70D77" w:rsidRPr="00CA510E">
        <w:rPr>
          <w:rFonts w:ascii="Arial" w:hAnsi="Arial" w:cs="Arial"/>
          <w:bCs/>
          <w:sz w:val="20"/>
          <w:szCs w:val="20"/>
        </w:rPr>
        <w:t xml:space="preserve"> </w:t>
      </w:r>
      <w:r w:rsidR="00B70D77">
        <w:rPr>
          <w:rFonts w:ascii="Arial" w:hAnsi="Arial" w:cs="Arial"/>
          <w:bCs/>
          <w:sz w:val="20"/>
          <w:szCs w:val="20"/>
        </w:rPr>
        <w:t>14</w:t>
      </w:r>
      <w:r w:rsidR="00B70D77"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70D77" w:rsidRPr="00CA510E">
        <w:rPr>
          <w:rFonts w:ascii="Arial" w:hAnsi="Arial" w:cs="Arial"/>
          <w:bCs/>
          <w:sz w:val="20"/>
          <w:szCs w:val="20"/>
        </w:rPr>
        <w:t xml:space="preserve"> – </w:t>
      </w:r>
      <w:r w:rsidR="00B70D77">
        <w:rPr>
          <w:rFonts w:ascii="Arial" w:hAnsi="Arial" w:cs="Arial"/>
          <w:bCs/>
          <w:sz w:val="20"/>
          <w:szCs w:val="20"/>
        </w:rPr>
        <w:t>18</w:t>
      </w:r>
      <w:r w:rsidR="00B70D7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70D77" w:rsidRPr="00CA510E">
        <w:rPr>
          <w:rFonts w:ascii="Arial" w:hAnsi="Arial" w:cs="Arial"/>
          <w:bCs/>
          <w:sz w:val="20"/>
          <w:szCs w:val="20"/>
        </w:rPr>
        <w:t>, 2024</w:t>
      </w:r>
    </w:p>
    <w:sectPr w:rsidR="004C260B" w:rsidRPr="00DD7499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B6F4A" w14:textId="77777777" w:rsidR="00B03460" w:rsidRDefault="00B03460">
      <w:r>
        <w:separator/>
      </w:r>
    </w:p>
  </w:endnote>
  <w:endnote w:type="continuationSeparator" w:id="0">
    <w:p w14:paraId="590E04F1" w14:textId="77777777" w:rsidR="00B03460" w:rsidRDefault="00B0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832CE" w14:textId="77777777" w:rsidR="00B03460" w:rsidRDefault="00B03460">
      <w:r>
        <w:separator/>
      </w:r>
    </w:p>
  </w:footnote>
  <w:footnote w:type="continuationSeparator" w:id="0">
    <w:p w14:paraId="3E141AE8" w14:textId="77777777" w:rsidR="00B03460" w:rsidRDefault="00B0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F67D9"/>
    <w:multiLevelType w:val="hybridMultilevel"/>
    <w:tmpl w:val="96C6C1C2"/>
    <w:lvl w:ilvl="0" w:tplc="0409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20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3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7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8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6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0"/>
  </w:num>
  <w:num w:numId="24" w16cid:durableId="639112823">
    <w:abstractNumId w:val="25"/>
  </w:num>
  <w:num w:numId="25" w16cid:durableId="1758358505">
    <w:abstractNumId w:val="4"/>
  </w:num>
  <w:num w:numId="26" w16cid:durableId="2108961271">
    <w:abstractNumId w:val="29"/>
  </w:num>
  <w:num w:numId="27" w16cid:durableId="1853451127">
    <w:abstractNumId w:val="24"/>
  </w:num>
  <w:num w:numId="28" w16cid:durableId="719016014">
    <w:abstractNumId w:val="22"/>
  </w:num>
  <w:num w:numId="29" w16cid:durableId="44761965">
    <w:abstractNumId w:val="9"/>
  </w:num>
  <w:num w:numId="30" w16cid:durableId="750783015">
    <w:abstractNumId w:val="1"/>
  </w:num>
  <w:num w:numId="31" w16cid:durableId="208345618">
    <w:abstractNumId w:val="19"/>
  </w:num>
  <w:num w:numId="32" w16cid:durableId="14452702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328E"/>
    <w:rsid w:val="00013EE4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1FA7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513F"/>
    <w:rsid w:val="00076DD0"/>
    <w:rsid w:val="00080512"/>
    <w:rsid w:val="00080638"/>
    <w:rsid w:val="0008297C"/>
    <w:rsid w:val="00084525"/>
    <w:rsid w:val="00084A90"/>
    <w:rsid w:val="00087378"/>
    <w:rsid w:val="00090307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74C"/>
    <w:rsid w:val="00104BC6"/>
    <w:rsid w:val="00105F72"/>
    <w:rsid w:val="00106392"/>
    <w:rsid w:val="00106A77"/>
    <w:rsid w:val="001104F4"/>
    <w:rsid w:val="00110A8D"/>
    <w:rsid w:val="00111EDD"/>
    <w:rsid w:val="00112B6A"/>
    <w:rsid w:val="001137B2"/>
    <w:rsid w:val="00113A07"/>
    <w:rsid w:val="001140B8"/>
    <w:rsid w:val="00114E2C"/>
    <w:rsid w:val="0011515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1CF"/>
    <w:rsid w:val="00144D61"/>
    <w:rsid w:val="00146540"/>
    <w:rsid w:val="00146BF3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4528"/>
    <w:rsid w:val="001655BB"/>
    <w:rsid w:val="0016611C"/>
    <w:rsid w:val="00166B5C"/>
    <w:rsid w:val="00166F82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4F42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2D4E"/>
    <w:rsid w:val="001B3DBF"/>
    <w:rsid w:val="001B7371"/>
    <w:rsid w:val="001B7504"/>
    <w:rsid w:val="001C21C3"/>
    <w:rsid w:val="001C2C48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5F25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35C0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3BD5"/>
    <w:rsid w:val="00256995"/>
    <w:rsid w:val="00257410"/>
    <w:rsid w:val="002608DE"/>
    <w:rsid w:val="00261B7C"/>
    <w:rsid w:val="002627B4"/>
    <w:rsid w:val="002637C2"/>
    <w:rsid w:val="0026424E"/>
    <w:rsid w:val="0026471C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3EB1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1FEE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2C72"/>
    <w:rsid w:val="002D3298"/>
    <w:rsid w:val="002D405E"/>
    <w:rsid w:val="002D5BFE"/>
    <w:rsid w:val="002D6024"/>
    <w:rsid w:val="002D61E3"/>
    <w:rsid w:val="002E00EE"/>
    <w:rsid w:val="002E0A7D"/>
    <w:rsid w:val="002E3322"/>
    <w:rsid w:val="002E4D11"/>
    <w:rsid w:val="002E7499"/>
    <w:rsid w:val="002E75F6"/>
    <w:rsid w:val="002F0D6A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07EB9"/>
    <w:rsid w:val="00310AC5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AE2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3643"/>
    <w:rsid w:val="00426737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4047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77B86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BA8"/>
    <w:rsid w:val="00496E4B"/>
    <w:rsid w:val="004A1B75"/>
    <w:rsid w:val="004A1C51"/>
    <w:rsid w:val="004A3D27"/>
    <w:rsid w:val="004A48FA"/>
    <w:rsid w:val="004A5DB3"/>
    <w:rsid w:val="004A6E04"/>
    <w:rsid w:val="004B10D0"/>
    <w:rsid w:val="004B2B1C"/>
    <w:rsid w:val="004B3447"/>
    <w:rsid w:val="004B4E61"/>
    <w:rsid w:val="004B5861"/>
    <w:rsid w:val="004B5C7F"/>
    <w:rsid w:val="004C0E4C"/>
    <w:rsid w:val="004C15E6"/>
    <w:rsid w:val="004C1601"/>
    <w:rsid w:val="004C1615"/>
    <w:rsid w:val="004C19E4"/>
    <w:rsid w:val="004C260B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199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684"/>
    <w:rsid w:val="00563714"/>
    <w:rsid w:val="00564D68"/>
    <w:rsid w:val="00565087"/>
    <w:rsid w:val="00567534"/>
    <w:rsid w:val="00567C2A"/>
    <w:rsid w:val="00570A32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3A1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399D"/>
    <w:rsid w:val="006758B1"/>
    <w:rsid w:val="00675D81"/>
    <w:rsid w:val="0068290F"/>
    <w:rsid w:val="006847C4"/>
    <w:rsid w:val="0068530E"/>
    <w:rsid w:val="00685A25"/>
    <w:rsid w:val="006867AA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66B5"/>
    <w:rsid w:val="006D7B72"/>
    <w:rsid w:val="006E1ABB"/>
    <w:rsid w:val="006E5A69"/>
    <w:rsid w:val="006E5C86"/>
    <w:rsid w:val="006F137C"/>
    <w:rsid w:val="006F209A"/>
    <w:rsid w:val="006F4A2D"/>
    <w:rsid w:val="006F5C12"/>
    <w:rsid w:val="00701A75"/>
    <w:rsid w:val="0070297F"/>
    <w:rsid w:val="00703218"/>
    <w:rsid w:val="00703FDB"/>
    <w:rsid w:val="00704EDC"/>
    <w:rsid w:val="0070556D"/>
    <w:rsid w:val="0070610A"/>
    <w:rsid w:val="00706226"/>
    <w:rsid w:val="00707E4B"/>
    <w:rsid w:val="007101FA"/>
    <w:rsid w:val="00711CF9"/>
    <w:rsid w:val="007121B5"/>
    <w:rsid w:val="00712430"/>
    <w:rsid w:val="00713221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0A04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77975"/>
    <w:rsid w:val="007809E5"/>
    <w:rsid w:val="00781F0F"/>
    <w:rsid w:val="007833DA"/>
    <w:rsid w:val="00787683"/>
    <w:rsid w:val="007921F5"/>
    <w:rsid w:val="00792E76"/>
    <w:rsid w:val="00793A3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2167"/>
    <w:rsid w:val="007C23F3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662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4FE"/>
    <w:rsid w:val="0081783A"/>
    <w:rsid w:val="00817A65"/>
    <w:rsid w:val="00820B25"/>
    <w:rsid w:val="00820E2A"/>
    <w:rsid w:val="00821BE7"/>
    <w:rsid w:val="0082350C"/>
    <w:rsid w:val="00823EC7"/>
    <w:rsid w:val="008246AB"/>
    <w:rsid w:val="0082493D"/>
    <w:rsid w:val="00825EDF"/>
    <w:rsid w:val="0083069F"/>
    <w:rsid w:val="00830747"/>
    <w:rsid w:val="00832AA2"/>
    <w:rsid w:val="0083481A"/>
    <w:rsid w:val="0083755B"/>
    <w:rsid w:val="00840DCA"/>
    <w:rsid w:val="008454C5"/>
    <w:rsid w:val="00850AF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3E1A"/>
    <w:rsid w:val="00894406"/>
    <w:rsid w:val="00895E23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0C20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2B01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243B"/>
    <w:rsid w:val="0091348E"/>
    <w:rsid w:val="009142F5"/>
    <w:rsid w:val="0091435F"/>
    <w:rsid w:val="00914B4B"/>
    <w:rsid w:val="00916637"/>
    <w:rsid w:val="00917334"/>
    <w:rsid w:val="00917CCB"/>
    <w:rsid w:val="00921018"/>
    <w:rsid w:val="0092176B"/>
    <w:rsid w:val="00921E71"/>
    <w:rsid w:val="00924C53"/>
    <w:rsid w:val="00924D1C"/>
    <w:rsid w:val="00924EB7"/>
    <w:rsid w:val="00927F22"/>
    <w:rsid w:val="0093032A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497"/>
    <w:rsid w:val="00980D27"/>
    <w:rsid w:val="00981E36"/>
    <w:rsid w:val="009825B5"/>
    <w:rsid w:val="00982A84"/>
    <w:rsid w:val="0098313D"/>
    <w:rsid w:val="009832AA"/>
    <w:rsid w:val="00983928"/>
    <w:rsid w:val="0098396D"/>
    <w:rsid w:val="00987E57"/>
    <w:rsid w:val="00991963"/>
    <w:rsid w:val="0099295E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67D2"/>
    <w:rsid w:val="009E7DA3"/>
    <w:rsid w:val="009F28AE"/>
    <w:rsid w:val="009F37B7"/>
    <w:rsid w:val="009F5433"/>
    <w:rsid w:val="009F5E43"/>
    <w:rsid w:val="00A0194F"/>
    <w:rsid w:val="00A019B7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A10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0347"/>
    <w:rsid w:val="00A31634"/>
    <w:rsid w:val="00A32280"/>
    <w:rsid w:val="00A334E3"/>
    <w:rsid w:val="00A3359B"/>
    <w:rsid w:val="00A34836"/>
    <w:rsid w:val="00A359A1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4826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0339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010E"/>
    <w:rsid w:val="00AD256E"/>
    <w:rsid w:val="00AD32E7"/>
    <w:rsid w:val="00AD4D49"/>
    <w:rsid w:val="00AD5F64"/>
    <w:rsid w:val="00AD617D"/>
    <w:rsid w:val="00AE0D7C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A6D"/>
    <w:rsid w:val="00B00BD4"/>
    <w:rsid w:val="00B03460"/>
    <w:rsid w:val="00B037D2"/>
    <w:rsid w:val="00B03E8E"/>
    <w:rsid w:val="00B03FF1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B83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4719C"/>
    <w:rsid w:val="00B50264"/>
    <w:rsid w:val="00B504F7"/>
    <w:rsid w:val="00B5178A"/>
    <w:rsid w:val="00B51CDC"/>
    <w:rsid w:val="00B5302C"/>
    <w:rsid w:val="00B55583"/>
    <w:rsid w:val="00B56C27"/>
    <w:rsid w:val="00B5759C"/>
    <w:rsid w:val="00B6070A"/>
    <w:rsid w:val="00B646A5"/>
    <w:rsid w:val="00B65A49"/>
    <w:rsid w:val="00B668E4"/>
    <w:rsid w:val="00B70D77"/>
    <w:rsid w:val="00B72AF3"/>
    <w:rsid w:val="00B75DED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4B8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77A"/>
    <w:rsid w:val="00C079CE"/>
    <w:rsid w:val="00C12D2F"/>
    <w:rsid w:val="00C1496A"/>
    <w:rsid w:val="00C16008"/>
    <w:rsid w:val="00C1711F"/>
    <w:rsid w:val="00C17557"/>
    <w:rsid w:val="00C17BF7"/>
    <w:rsid w:val="00C17C12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BA3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6A5B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4A4B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263B"/>
    <w:rsid w:val="00CC3116"/>
    <w:rsid w:val="00CC3947"/>
    <w:rsid w:val="00CC3FFD"/>
    <w:rsid w:val="00CC5BE3"/>
    <w:rsid w:val="00CD15E7"/>
    <w:rsid w:val="00CD1AAF"/>
    <w:rsid w:val="00CD398D"/>
    <w:rsid w:val="00CD5CF4"/>
    <w:rsid w:val="00CD7FD3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2B33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134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28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5D61"/>
    <w:rsid w:val="00DD6E9C"/>
    <w:rsid w:val="00DD7499"/>
    <w:rsid w:val="00DD7FAC"/>
    <w:rsid w:val="00DE0297"/>
    <w:rsid w:val="00DE0507"/>
    <w:rsid w:val="00DE098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27CD3"/>
    <w:rsid w:val="00E30CC7"/>
    <w:rsid w:val="00E320B5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ABE"/>
    <w:rsid w:val="00E73578"/>
    <w:rsid w:val="00E74333"/>
    <w:rsid w:val="00E74B5D"/>
    <w:rsid w:val="00E75946"/>
    <w:rsid w:val="00E7742B"/>
    <w:rsid w:val="00E77645"/>
    <w:rsid w:val="00E80040"/>
    <w:rsid w:val="00E808A6"/>
    <w:rsid w:val="00E828D4"/>
    <w:rsid w:val="00E853F2"/>
    <w:rsid w:val="00E861A6"/>
    <w:rsid w:val="00E922FE"/>
    <w:rsid w:val="00E95EB1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9FC"/>
    <w:rsid w:val="00F22EC7"/>
    <w:rsid w:val="00F26D2F"/>
    <w:rsid w:val="00F32234"/>
    <w:rsid w:val="00F32507"/>
    <w:rsid w:val="00F325C8"/>
    <w:rsid w:val="00F32A57"/>
    <w:rsid w:val="00F3347C"/>
    <w:rsid w:val="00F34849"/>
    <w:rsid w:val="00F35A8C"/>
    <w:rsid w:val="00F35E69"/>
    <w:rsid w:val="00F4310F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EAC"/>
    <w:rsid w:val="00F72F4F"/>
    <w:rsid w:val="00F72FDC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8F3"/>
    <w:rsid w:val="00FA09D0"/>
    <w:rsid w:val="00FA1266"/>
    <w:rsid w:val="00FA29A4"/>
    <w:rsid w:val="00FA3A4C"/>
    <w:rsid w:val="00FA5E61"/>
    <w:rsid w:val="00FB03DC"/>
    <w:rsid w:val="00FB133A"/>
    <w:rsid w:val="00FB50B5"/>
    <w:rsid w:val="00FB586F"/>
    <w:rsid w:val="00FB59CE"/>
    <w:rsid w:val="00FB5EB7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9450F96-22CC-7243-8E52-F657C675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4558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2024-11-06T22:31:00Z</dcterms:created>
  <dcterms:modified xsi:type="dcterms:W3CDTF">2024-11-08T06:16:00Z</dcterms:modified>
  <cp:category/>
</cp:coreProperties>
</file>